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AF3E4D"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AF3E4D" w14:paraId="717075A9" w14:textId="77777777" w:rsidTr="004E2DCE">
              <w:trPr>
                <w:trHeight w:val="10500"/>
                <w:tblCellSpacing w:w="0" w:type="dxa"/>
              </w:trPr>
              <w:tc>
                <w:tcPr>
                  <w:tcW w:w="10348" w:type="dxa"/>
                  <w:shd w:val="clear" w:color="auto" w:fill="FFFFFF"/>
                  <w:hideMark/>
                </w:tcPr>
                <w:p w14:paraId="4E609B24" w14:textId="142BB3D1" w:rsidR="00727A27" w:rsidRPr="008E66EE" w:rsidRDefault="008E66EE" w:rsidP="00CF4C86">
                  <w:pPr>
                    <w:shd w:val="clear" w:color="auto" w:fill="FFFFFF"/>
                    <w:rPr>
                      <w:rFonts w:asciiTheme="minorHAnsi" w:hAnsiTheme="minorHAnsi" w:cstheme="minorHAnsi"/>
                      <w:color w:val="FF0000"/>
                      <w:sz w:val="18"/>
                      <w:szCs w:val="18"/>
                      <w:lang w:val="nl-NL"/>
                    </w:rPr>
                  </w:pPr>
                  <w:r>
                    <w:rPr>
                      <w:rStyle w:val="Strong"/>
                      <w:rFonts w:eastAsia="Calibri"/>
                      <w:sz w:val="18"/>
                      <w:szCs w:val="18"/>
                      <w:lang w:val="sv-SE"/>
                    </w:rPr>
                    <w:t>Köp en Fluke värmekamera</w:t>
                  </w:r>
                  <w:r w:rsidRPr="002A27A0">
                    <w:rPr>
                      <w:rStyle w:val="Strong"/>
                      <w:rFonts w:eastAsia="Calibri"/>
                      <w:sz w:val="18"/>
                      <w:szCs w:val="18"/>
                      <w:lang w:val="sv-SE"/>
                    </w:rPr>
                    <w:t xml:space="preserve">, </w:t>
                  </w:r>
                  <w:r w:rsidR="002A27A0" w:rsidRPr="002A27A0">
                    <w:rPr>
                      <w:rStyle w:val="Strong"/>
                      <w:rFonts w:asciiTheme="minorHAnsi" w:hAnsiTheme="minorHAnsi" w:cstheme="minorHAnsi"/>
                      <w:sz w:val="18"/>
                      <w:szCs w:val="18"/>
                    </w:rPr>
                    <w:t>Ti300+, Ti401-PRO, Ti480-PRO, TiX501</w:t>
                  </w:r>
                  <w:r w:rsidRPr="002A27A0">
                    <w:rPr>
                      <w:rStyle w:val="Strong"/>
                      <w:rFonts w:eastAsia="Calibri"/>
                      <w:sz w:val="18"/>
                      <w:szCs w:val="18"/>
                      <w:lang w:val="sv-SE"/>
                    </w:rPr>
                    <w:t xml:space="preserve"> </w:t>
                  </w:r>
                  <w:r>
                    <w:rPr>
                      <w:rStyle w:val="Strong"/>
                      <w:rFonts w:eastAsia="Calibri"/>
                      <w:sz w:val="18"/>
                      <w:szCs w:val="18"/>
                      <w:lang w:val="sv-SE"/>
                    </w:rPr>
                    <w:t xml:space="preserve">eller TiX580 och välj en kostnadsfri </w:t>
                  </w:r>
                  <w:r>
                    <w:rPr>
                      <w:rStyle w:val="Strong"/>
                      <w:rFonts w:eastAsia="Calibri"/>
                      <w:lang w:val="sv-SE"/>
                    </w:rPr>
                    <w:t>Fluke</w:t>
                  </w:r>
                  <w:r>
                    <w:rPr>
                      <w:rStyle w:val="Strong"/>
                      <w:rFonts w:eastAsia="Calibri"/>
                      <w:sz w:val="18"/>
                      <w:szCs w:val="18"/>
                      <w:lang w:val="sv-SE"/>
                    </w:rPr>
                    <w:t xml:space="preserve">-gåva </w:t>
                  </w:r>
                </w:p>
                <w:p w14:paraId="7222EBE1" w14:textId="40C00ACD" w:rsidR="00727A27" w:rsidRPr="008E66EE" w:rsidRDefault="00727A27" w:rsidP="00CF4C86">
                  <w:pPr>
                    <w:shd w:val="clear" w:color="auto" w:fill="FFFFFF"/>
                    <w:rPr>
                      <w:rFonts w:asciiTheme="minorHAnsi" w:hAnsiTheme="minorHAnsi" w:cstheme="minorHAnsi"/>
                      <w:color w:val="FF0000"/>
                      <w:sz w:val="18"/>
                      <w:szCs w:val="18"/>
                      <w:lang w:val="nl-NL"/>
                    </w:rPr>
                  </w:pPr>
                </w:p>
                <w:p w14:paraId="2A1BE1B7" w14:textId="27CD0055" w:rsidR="00727A27" w:rsidRPr="008E66EE" w:rsidRDefault="008E66EE" w:rsidP="00727A27">
                  <w:pPr>
                    <w:shd w:val="clear" w:color="auto" w:fill="FFFFFF"/>
                    <w:rPr>
                      <w:rFonts w:asciiTheme="minorHAnsi" w:hAnsiTheme="minorHAnsi" w:cstheme="minorHAnsi"/>
                      <w:sz w:val="18"/>
                      <w:szCs w:val="18"/>
                      <w:lang w:val="nl-NL"/>
                    </w:rPr>
                  </w:pPr>
                  <w:r w:rsidRPr="008E66EE">
                    <w:rPr>
                      <w:rFonts w:eastAsia="Calibri"/>
                      <w:sz w:val="18"/>
                      <w:szCs w:val="18"/>
                      <w:lang w:val="sv-SE"/>
                    </w:rPr>
                    <w:t>FLK-OBJEKTIV/TELE2, 4335350; FLK-OBJEKTIV/VIDVINKEL2, 4335361; FLUKE-279FC I/B, 4989200; FLK-PTI120 9H, 5302512</w:t>
                  </w:r>
                </w:p>
                <w:p w14:paraId="22FF1C12" w14:textId="39F42ED6" w:rsidR="00CF4C86" w:rsidRPr="008E66EE" w:rsidRDefault="008E66EE" w:rsidP="00CF4C86">
                  <w:pPr>
                    <w:shd w:val="clear" w:color="auto" w:fill="FFFFFF"/>
                    <w:rPr>
                      <w:rFonts w:asciiTheme="minorHAnsi" w:hAnsiTheme="minorHAnsi" w:cstheme="minorHAnsi"/>
                      <w:sz w:val="18"/>
                      <w:szCs w:val="18"/>
                      <w:lang w:val="nl-NL"/>
                    </w:rPr>
                  </w:pPr>
                  <w:r w:rsidRPr="008E66EE">
                    <w:rPr>
                      <w:rFonts w:eastAsia="Calibri"/>
                      <w:sz w:val="18"/>
                      <w:szCs w:val="18"/>
                      <w:lang w:val="sv-SE"/>
                    </w:rPr>
                    <w:br/>
                  </w:r>
                  <w:r w:rsidRPr="008E66EE">
                    <w:rPr>
                      <w:rFonts w:eastAsia="Calibri"/>
                      <w:sz w:val="18"/>
                      <w:szCs w:val="18"/>
                      <w:lang w:val="sv-SE"/>
                    </w:rPr>
                    <w:br/>
                    <w:t>Så här får du din kostnadsfria gåva från Fluke:</w:t>
                  </w:r>
                  <w:r w:rsidRPr="008E66EE">
                    <w:rPr>
                      <w:rFonts w:eastAsia="Calibri"/>
                      <w:sz w:val="18"/>
                      <w:szCs w:val="18"/>
                      <w:lang w:val="sv-SE"/>
                    </w:rPr>
                    <w:br/>
                  </w:r>
                  <w:r w:rsidRPr="008E66EE">
                    <w:rPr>
                      <w:rFonts w:eastAsia="Calibri"/>
                      <w:sz w:val="18"/>
                      <w:szCs w:val="18"/>
                      <w:lang w:val="sv-SE"/>
                    </w:rPr>
                    <w:br/>
                    <w:t>• Köp en kvalificerad Fluke Thermal Image</w:t>
                  </w:r>
                  <w:r w:rsidRPr="002A27A0">
                    <w:rPr>
                      <w:rFonts w:eastAsia="Calibri"/>
                      <w:sz w:val="18"/>
                      <w:szCs w:val="18"/>
                      <w:lang w:val="sv-SE"/>
                    </w:rPr>
                    <w:t>r</w:t>
                  </w:r>
                  <w:r w:rsidR="002A27A0" w:rsidRPr="002A27A0">
                    <w:rPr>
                      <w:rFonts w:eastAsia="Calibri"/>
                      <w:sz w:val="18"/>
                      <w:szCs w:val="18"/>
                      <w:lang w:val="sv-SE"/>
                    </w:rPr>
                    <w:t xml:space="preserve"> </w:t>
                  </w:r>
                  <w:r w:rsidR="002A27A0" w:rsidRPr="002A27A0">
                    <w:rPr>
                      <w:rStyle w:val="Strong"/>
                      <w:rFonts w:asciiTheme="minorHAnsi" w:hAnsiTheme="minorHAnsi" w:cstheme="minorHAnsi"/>
                      <w:sz w:val="18"/>
                      <w:szCs w:val="18"/>
                      <w:lang w:val="nl-NL"/>
                    </w:rPr>
                    <w:t>Ti300+, Ti401-PRO, Ti480-PRO, TiX501</w:t>
                  </w:r>
                  <w:r w:rsidRPr="002A27A0">
                    <w:rPr>
                      <w:rFonts w:eastAsia="Calibri"/>
                      <w:sz w:val="18"/>
                      <w:szCs w:val="18"/>
                      <w:lang w:val="sv-SE"/>
                    </w:rPr>
                    <w:t xml:space="preserve"> eller TiX5</w:t>
                  </w:r>
                  <w:r w:rsidRPr="008E66EE">
                    <w:rPr>
                      <w:rFonts w:eastAsia="Calibri"/>
                      <w:sz w:val="18"/>
                      <w:szCs w:val="18"/>
                      <w:lang w:val="sv-SE"/>
                    </w:rPr>
                    <w:t>80 mellan 1</w:t>
                  </w:r>
                  <w:r w:rsidR="002A27A0">
                    <w:rPr>
                      <w:rFonts w:eastAsia="Calibri"/>
                      <w:sz w:val="18"/>
                      <w:szCs w:val="18"/>
                      <w:lang w:val="sv-SE"/>
                    </w:rPr>
                    <w:t>.9.2023 och 15.12.2023</w:t>
                  </w:r>
                  <w:r w:rsidRPr="008E66EE">
                    <w:rPr>
                      <w:rFonts w:eastAsia="Calibri"/>
                      <w:sz w:val="18"/>
                      <w:szCs w:val="18"/>
                      <w:lang w:val="sv-SE"/>
                    </w:rPr>
                    <w:t xml:space="preserve">. </w:t>
                  </w:r>
                </w:p>
                <w:p w14:paraId="4CB3F4E7" w14:textId="1F192723" w:rsidR="00CF4C86" w:rsidRPr="008E66EE" w:rsidRDefault="008E66EE" w:rsidP="00CF4C86">
                  <w:pPr>
                    <w:pStyle w:val="ListParagraph"/>
                    <w:numPr>
                      <w:ilvl w:val="0"/>
                      <w:numId w:val="2"/>
                    </w:numPr>
                    <w:shd w:val="clear" w:color="auto" w:fill="FFFFFF"/>
                    <w:ind w:left="142" w:hanging="142"/>
                    <w:rPr>
                      <w:rFonts w:asciiTheme="minorHAnsi" w:hAnsiTheme="minorHAnsi" w:cstheme="minorHAnsi"/>
                      <w:sz w:val="18"/>
                      <w:szCs w:val="18"/>
                    </w:rPr>
                  </w:pPr>
                  <w:r w:rsidRPr="008E66EE">
                    <w:rPr>
                      <w:rFonts w:eastAsia="Calibri"/>
                      <w:sz w:val="18"/>
                      <w:szCs w:val="18"/>
                      <w:lang w:val="sv-SE"/>
                    </w:rPr>
                    <w:t xml:space="preserve">Slutanvändarkunder bosatta i Europeiska unionen, Storbritannien, Schweiz, Norge, Sverige, Finland, Albanien, Bosnien-Hercegovina, Island, Makedonien och Serbia är berättigade att delta i denna kampanj. Inköp måste göras från en auktoriserad Fluke-distributör i det land där kunden bor. </w:t>
                  </w:r>
                </w:p>
                <w:p w14:paraId="5333EF3B" w14:textId="6D2CCC11" w:rsidR="007137DD" w:rsidRPr="008E66EE" w:rsidRDefault="008E66EE" w:rsidP="007137DD">
                  <w:pPr>
                    <w:shd w:val="clear" w:color="auto" w:fill="FFFFFF"/>
                    <w:rPr>
                      <w:rFonts w:asciiTheme="minorHAnsi" w:hAnsiTheme="minorHAnsi" w:cstheme="minorHAnsi"/>
                      <w:sz w:val="18"/>
                      <w:szCs w:val="18"/>
                      <w:lang w:val="sv-SE"/>
                    </w:rPr>
                  </w:pPr>
                  <w:r w:rsidRPr="008E66EE">
                    <w:rPr>
                      <w:rFonts w:eastAsia="Calibri"/>
                      <w:sz w:val="18"/>
                      <w:szCs w:val="18"/>
                      <w:lang w:val="sv-SE"/>
                    </w:rPr>
                    <w:t>• Inköpsbevis i form av ett kvitto eller faktura krävs. Följesedlar, inköpsorder/orderbekräftelser godkänns inte som inköpsbevis.</w:t>
                  </w:r>
                  <w:r w:rsidRPr="008E66EE">
                    <w:rPr>
                      <w:rFonts w:eastAsia="Calibri"/>
                      <w:sz w:val="18"/>
                      <w:szCs w:val="18"/>
                      <w:lang w:val="sv-SE"/>
                    </w:rPr>
                    <w:br/>
                    <w:t>• Andra produkter än de berättigande GÄLLER INTE i den här kampanjen.</w:t>
                  </w:r>
                  <w:r w:rsidRPr="008E66EE">
                    <w:rPr>
                      <w:rFonts w:eastAsia="Calibri"/>
                      <w:sz w:val="18"/>
                      <w:szCs w:val="18"/>
                      <w:lang w:val="sv-SE"/>
                    </w:rPr>
                    <w:br/>
                    <w:t>Om köpet gjordes online krävs leveransbevis som visar transportör, leveransdatum och elektroniskt spårningsnummer.</w:t>
                  </w:r>
                  <w:r w:rsidRPr="008E66EE">
                    <w:rPr>
                      <w:rFonts w:eastAsia="Calibri"/>
                      <w:sz w:val="18"/>
                      <w:szCs w:val="18"/>
                      <w:lang w:val="sv-SE"/>
                    </w:rPr>
                    <w:br/>
                    <w:t xml:space="preserve">Lös in din kostnadsfria Fluke-gåva online! Besök: </w:t>
                  </w:r>
                  <w:hyperlink r:id="rId5" w:history="1">
                    <w:r w:rsidRPr="00396098">
                      <w:rPr>
                        <w:rStyle w:val="Hyperlink"/>
                        <w:rFonts w:eastAsia="Calibri"/>
                        <w:sz w:val="18"/>
                        <w:szCs w:val="18"/>
                        <w:lang w:val="sv-SE"/>
                      </w:rPr>
                      <w:t>www.fluke.se/freefluke-claim</w:t>
                    </w:r>
                  </w:hyperlink>
                  <w:r>
                    <w:rPr>
                      <w:rFonts w:eastAsia="Calibri"/>
                      <w:sz w:val="18"/>
                      <w:szCs w:val="18"/>
                      <w:lang w:val="sv-SE"/>
                    </w:rPr>
                    <w:t xml:space="preserve"> </w:t>
                  </w:r>
                  <w:r w:rsidRPr="008E66EE">
                    <w:rPr>
                      <w:rFonts w:eastAsia="Calibri"/>
                      <w:sz w:val="18"/>
                      <w:szCs w:val="18"/>
                      <w:lang w:val="sv-SE"/>
                    </w:rPr>
                    <w:br/>
                    <w:t>Ta emot och njut av din nya gåva från Fluke!</w:t>
                  </w:r>
                  <w:r w:rsidRPr="008E66EE">
                    <w:rPr>
                      <w:rFonts w:eastAsia="Calibri"/>
                      <w:sz w:val="18"/>
                      <w:szCs w:val="18"/>
                      <w:lang w:val="sv-SE"/>
                    </w:rPr>
                    <w:br/>
                    <w:t xml:space="preserve">*Ytterligare villkor gäller. Genom att delta i den här kampanjen godkänner du villkoren. Se villkoren på </w:t>
                  </w:r>
                  <w:hyperlink r:id="rId6" w:history="1">
                    <w:r w:rsidRPr="00396098">
                      <w:rPr>
                        <w:rStyle w:val="Hyperlink"/>
                        <w:rFonts w:eastAsia="Calibri"/>
                        <w:sz w:val="18"/>
                        <w:szCs w:val="18"/>
                        <w:lang w:val="sv-SE"/>
                      </w:rPr>
                      <w:t>www.fluke.se/freefluke</w:t>
                    </w:r>
                  </w:hyperlink>
                  <w:r w:rsidRPr="008E66EE">
                    <w:rPr>
                      <w:rFonts w:eastAsia="Calibri"/>
                      <w:sz w:val="18"/>
                      <w:szCs w:val="18"/>
                      <w:lang w:val="sv-SE"/>
                    </w:rPr>
                    <w:br/>
                  </w:r>
                  <w:r w:rsidRPr="008E66EE">
                    <w:rPr>
                      <w:rFonts w:eastAsia="Calibri"/>
                      <w:sz w:val="18"/>
                      <w:szCs w:val="18"/>
                      <w:lang w:val="sv-SE"/>
                    </w:rPr>
                    <w:br/>
                    <w:t>Villkor</w:t>
                  </w:r>
                  <w:r w:rsidRPr="008E66EE">
                    <w:rPr>
                      <w:rFonts w:eastAsia="Calibri"/>
                      <w:sz w:val="18"/>
                      <w:szCs w:val="18"/>
                      <w:lang w:val="sv-SE"/>
                    </w:rPr>
                    <w:br/>
                  </w:r>
                  <w:r w:rsidRPr="008E66EE">
                    <w:rPr>
                      <w:rFonts w:eastAsia="Calibri"/>
                      <w:sz w:val="18"/>
                      <w:szCs w:val="18"/>
                      <w:lang w:val="sv-SE"/>
                    </w:rPr>
                    <w:br/>
                    <w:t>1. Beskrivning av kampanjen:</w:t>
                  </w:r>
                  <w:r w:rsidRPr="008E66EE">
                    <w:rPr>
                      <w:rFonts w:eastAsia="Calibri"/>
                      <w:sz w:val="18"/>
                      <w:szCs w:val="18"/>
                      <w:lang w:val="sv-SE"/>
                    </w:rPr>
                    <w:br/>
                  </w:r>
                  <w:r w:rsidRPr="008E66EE">
                    <w:rPr>
                      <w:rFonts w:eastAsia="Calibri"/>
                      <w:sz w:val="18"/>
                      <w:szCs w:val="18"/>
                      <w:lang w:val="sv-SE"/>
                    </w:rPr>
                    <w:br/>
                    <w:t>Som del av kampanjen (”kampanjen”) kan berättigade slutanvändarkunder som uppfyller alla krav som anges i de här kampanjvillkoren under kampanjperioden (som definieras i avsnitt 3 nedan) få ett visst Fluke-verktyg, enligt beskrivning nedan. Under kampanjen ska berättigade slutanvändare hos Fluke Europe B.V. eller dess närstående juridiska enheter (”sponsorn”), i varje enskilt fall som handlar under Flukes varumärke, vara berättigade att få ett Fluke-verktyg som de väljer mellan: FLK-LENS/TELE2, 4335350; FLK-LENS/WIDE2, 4335361; FLUKE-279FC I/B, 4989200; FLK-PTI120 9H, 5302512</w:t>
                  </w:r>
                </w:p>
                <w:p w14:paraId="79358D06" w14:textId="7C98A9A1" w:rsidR="002A27A0" w:rsidRPr="002A27A0" w:rsidRDefault="008E66EE" w:rsidP="002A27A0">
                  <w:pPr>
                    <w:shd w:val="clear" w:color="auto" w:fill="FFFFFF"/>
                    <w:rPr>
                      <w:rFonts w:asciiTheme="minorHAnsi" w:hAnsiTheme="minorHAnsi" w:cstheme="minorHAnsi"/>
                      <w:sz w:val="18"/>
                      <w:szCs w:val="18"/>
                      <w:lang w:val="nl-NL"/>
                    </w:rPr>
                  </w:pPr>
                  <w:r w:rsidRPr="008E66EE">
                    <w:rPr>
                      <w:rFonts w:eastAsia="Calibri"/>
                      <w:u w:val="single"/>
                      <w:lang w:val="sv-SE"/>
                    </w:rPr>
                    <w:t xml:space="preserve"> </w:t>
                  </w:r>
                  <w:r w:rsidRPr="008E66EE">
                    <w:rPr>
                      <w:rFonts w:eastAsia="Calibri"/>
                      <w:sz w:val="18"/>
                      <w:szCs w:val="18"/>
                      <w:lang w:val="sv-SE"/>
                    </w:rPr>
                    <w:t>(”Gåva”), vid köp av kvalificerande Fluke-produkt(er) enligt nedan:</w:t>
                  </w:r>
                  <w:r w:rsidRPr="008E66EE">
                    <w:rPr>
                      <w:rFonts w:eastAsia="Calibri"/>
                      <w:sz w:val="18"/>
                      <w:szCs w:val="18"/>
                      <w:lang w:val="sv-SE"/>
                    </w:rPr>
                    <w:br/>
                  </w:r>
                  <w:r w:rsidRPr="008E66EE">
                    <w:rPr>
                      <w:rFonts w:eastAsia="Calibri"/>
                      <w:sz w:val="18"/>
                      <w:szCs w:val="18"/>
                      <w:lang w:val="sv-SE"/>
                    </w:rPr>
                    <w:br/>
                    <w:t>“Fluke-produkter” avser en av följande Fluke-produkter på listan nedan:</w:t>
                  </w:r>
                  <w:r w:rsidRPr="008E66EE">
                    <w:rPr>
                      <w:rFonts w:eastAsia="Calibri"/>
                      <w:sz w:val="18"/>
                      <w:szCs w:val="18"/>
                      <w:lang w:val="sv-SE"/>
                    </w:rPr>
                    <w:br/>
                  </w:r>
                  <w:r w:rsidRPr="008E66EE">
                    <w:rPr>
                      <w:rFonts w:eastAsia="Calibri"/>
                      <w:sz w:val="18"/>
                      <w:szCs w:val="18"/>
                      <w:lang w:val="sv-SE"/>
                    </w:rPr>
                    <w:br/>
                    <w:t>Produktnummer för modellbeskrivning</w:t>
                  </w:r>
                </w:p>
                <w:p w14:paraId="63ECECDB" w14:textId="77777777" w:rsidR="002A27A0" w:rsidRDefault="002A27A0" w:rsidP="00CF4C86">
                  <w:pPr>
                    <w:shd w:val="clear" w:color="auto" w:fill="FFFFFF"/>
                    <w:rPr>
                      <w:rFonts w:eastAsia="Calibri"/>
                      <w:sz w:val="18"/>
                      <w:szCs w:val="18"/>
                      <w:lang w:val="sv-SE"/>
                    </w:rPr>
                  </w:pPr>
                </w:p>
                <w:p w14:paraId="13476F45" w14:textId="2A20D675" w:rsidR="002A27A0" w:rsidRPr="002A27A0" w:rsidRDefault="002A27A0" w:rsidP="002A27A0">
                  <w:pPr>
                    <w:rPr>
                      <w:sz w:val="18"/>
                      <w:szCs w:val="18"/>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Ti300+ 60Hz (5127961)</w:t>
                  </w:r>
                </w:p>
                <w:p w14:paraId="36845826" w14:textId="5DF36311" w:rsidR="002A27A0" w:rsidRPr="002A27A0" w:rsidRDefault="002A27A0" w:rsidP="002A27A0">
                  <w:pPr>
                    <w:rPr>
                      <w:sz w:val="18"/>
                      <w:szCs w:val="18"/>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Ti300+ 9Hz (5127977)</w:t>
                  </w:r>
                </w:p>
                <w:p w14:paraId="0E36787C" w14:textId="5D8EE909" w:rsidR="002A27A0" w:rsidRPr="002A27A0" w:rsidRDefault="002A27A0" w:rsidP="002A27A0">
                  <w:pPr>
                    <w:rPr>
                      <w:sz w:val="18"/>
                      <w:szCs w:val="18"/>
                    </w:rPr>
                  </w:pPr>
                  <w:r w:rsidRPr="002A27A0">
                    <w:rPr>
                      <w:sz w:val="18"/>
                      <w:szCs w:val="18"/>
                    </w:rPr>
                    <w:t xml:space="preserve">Fluke </w:t>
                  </w:r>
                  <w:r w:rsidRPr="002A27A0">
                    <w:rPr>
                      <w:rFonts w:eastAsia="Calibri"/>
                      <w:sz w:val="18"/>
                      <w:szCs w:val="18"/>
                      <w:lang w:val="sv-SE"/>
                    </w:rPr>
                    <w:t>infraröd kamera</w:t>
                  </w:r>
                  <w:r w:rsidRPr="002A27A0">
                    <w:rPr>
                      <w:sz w:val="18"/>
                      <w:szCs w:val="18"/>
                    </w:rPr>
                    <w:t xml:space="preserve"> Ti401-PRO 60Hz (5085041)</w:t>
                  </w:r>
                </w:p>
                <w:p w14:paraId="5AB8D5E2" w14:textId="463397B9" w:rsidR="002A27A0" w:rsidRPr="002A27A0" w:rsidRDefault="002A27A0" w:rsidP="002A27A0">
                  <w:pPr>
                    <w:rPr>
                      <w:sz w:val="18"/>
                      <w:szCs w:val="18"/>
                    </w:rPr>
                  </w:pPr>
                  <w:r w:rsidRPr="002A27A0">
                    <w:rPr>
                      <w:sz w:val="18"/>
                      <w:szCs w:val="18"/>
                    </w:rPr>
                    <w:t xml:space="preserve">Fluke </w:t>
                  </w:r>
                  <w:r w:rsidRPr="002A27A0">
                    <w:rPr>
                      <w:rFonts w:eastAsia="Calibri"/>
                      <w:sz w:val="18"/>
                      <w:szCs w:val="18"/>
                      <w:lang w:val="sv-SE"/>
                    </w:rPr>
                    <w:t>infraröd kamera</w:t>
                  </w:r>
                  <w:r w:rsidRPr="002A27A0">
                    <w:rPr>
                      <w:sz w:val="18"/>
                      <w:szCs w:val="18"/>
                    </w:rPr>
                    <w:t xml:space="preserve"> Ti401-PRO 9Hz (5085052)</w:t>
                  </w:r>
                </w:p>
                <w:p w14:paraId="7FF218B6" w14:textId="614ACB69" w:rsidR="002A27A0" w:rsidRPr="002A27A0" w:rsidRDefault="002A27A0" w:rsidP="002A27A0">
                  <w:pPr>
                    <w:rPr>
                      <w:sz w:val="18"/>
                      <w:szCs w:val="18"/>
                    </w:rPr>
                  </w:pPr>
                  <w:r w:rsidRPr="002A27A0">
                    <w:rPr>
                      <w:sz w:val="18"/>
                      <w:szCs w:val="18"/>
                    </w:rPr>
                    <w:t xml:space="preserve">Fluke </w:t>
                  </w:r>
                  <w:r w:rsidRPr="002A27A0">
                    <w:rPr>
                      <w:rFonts w:eastAsia="Calibri"/>
                      <w:sz w:val="18"/>
                      <w:szCs w:val="18"/>
                      <w:lang w:val="sv-SE"/>
                    </w:rPr>
                    <w:t>infraröd kamera</w:t>
                  </w:r>
                  <w:r w:rsidRPr="002A27A0">
                    <w:rPr>
                      <w:sz w:val="18"/>
                      <w:szCs w:val="18"/>
                    </w:rPr>
                    <w:t xml:space="preserve"> Ti480-PRO 60Hz (4947326)</w:t>
                  </w:r>
                </w:p>
                <w:p w14:paraId="05AB079D" w14:textId="701EBE18" w:rsidR="002A27A0" w:rsidRPr="002A27A0" w:rsidRDefault="002A27A0" w:rsidP="002A27A0">
                  <w:pPr>
                    <w:rPr>
                      <w:sz w:val="18"/>
                      <w:szCs w:val="18"/>
                    </w:rPr>
                  </w:pPr>
                  <w:r w:rsidRPr="002A27A0">
                    <w:rPr>
                      <w:sz w:val="18"/>
                      <w:szCs w:val="18"/>
                    </w:rPr>
                    <w:t xml:space="preserve">Fluke </w:t>
                  </w:r>
                  <w:r w:rsidRPr="002A27A0">
                    <w:rPr>
                      <w:rFonts w:eastAsia="Calibri"/>
                      <w:sz w:val="18"/>
                      <w:szCs w:val="18"/>
                      <w:lang w:val="sv-SE"/>
                    </w:rPr>
                    <w:t>infraröd kamera</w:t>
                  </w:r>
                  <w:r w:rsidRPr="002A27A0">
                    <w:rPr>
                      <w:sz w:val="18"/>
                      <w:szCs w:val="18"/>
                    </w:rPr>
                    <w:t xml:space="preserve"> Ti480-PRO 9Hz (4947332)</w:t>
                  </w:r>
                </w:p>
                <w:p w14:paraId="0D4FD181" w14:textId="4BCA1379" w:rsidR="002A27A0" w:rsidRPr="002A27A0" w:rsidRDefault="002A27A0" w:rsidP="002A27A0">
                  <w:pPr>
                    <w:rPr>
                      <w:sz w:val="18"/>
                      <w:szCs w:val="18"/>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TiX501 60Hz (5085119)</w:t>
                  </w:r>
                </w:p>
                <w:p w14:paraId="4A24EF92" w14:textId="4F38B30F" w:rsidR="002A27A0" w:rsidRPr="002A27A0" w:rsidRDefault="002A27A0" w:rsidP="002A27A0">
                  <w:pPr>
                    <w:rPr>
                      <w:sz w:val="18"/>
                      <w:szCs w:val="18"/>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TiX501 9Hz (5085128)</w:t>
                  </w:r>
                </w:p>
                <w:p w14:paraId="0607863D" w14:textId="68F91915" w:rsidR="002A27A0" w:rsidRPr="002A27A0" w:rsidRDefault="002A27A0" w:rsidP="002A27A0">
                  <w:pPr>
                    <w:rPr>
                      <w:sz w:val="18"/>
                      <w:szCs w:val="18"/>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TiX580 60Hz (4842073)</w:t>
                  </w:r>
                </w:p>
                <w:p w14:paraId="69B58F99" w14:textId="453C92CB" w:rsidR="002A27A0" w:rsidRPr="002A27A0" w:rsidRDefault="002A27A0" w:rsidP="002A27A0">
                  <w:pPr>
                    <w:rPr>
                      <w:lang w:val="nl-NL"/>
                    </w:rPr>
                  </w:pPr>
                  <w:r w:rsidRPr="002A27A0">
                    <w:rPr>
                      <w:sz w:val="18"/>
                      <w:szCs w:val="18"/>
                      <w:lang w:val="nl-NL"/>
                    </w:rPr>
                    <w:t xml:space="preserve">Fluke </w:t>
                  </w:r>
                  <w:r w:rsidRPr="002A27A0">
                    <w:rPr>
                      <w:rFonts w:eastAsia="Calibri"/>
                      <w:sz w:val="18"/>
                      <w:szCs w:val="18"/>
                      <w:lang w:val="sv-SE"/>
                    </w:rPr>
                    <w:t>infraröd kamera</w:t>
                  </w:r>
                  <w:r w:rsidRPr="002A27A0">
                    <w:rPr>
                      <w:sz w:val="18"/>
                      <w:szCs w:val="18"/>
                      <w:lang w:val="nl-NL"/>
                    </w:rPr>
                    <w:t xml:space="preserve"> </w:t>
                  </w:r>
                  <w:r w:rsidRPr="002A27A0">
                    <w:rPr>
                      <w:sz w:val="18"/>
                      <w:szCs w:val="18"/>
                      <w:lang w:val="nl-NL"/>
                    </w:rPr>
                    <w:t>TiX580 9Hz (4841945)</w:t>
                  </w:r>
                </w:p>
                <w:p w14:paraId="7F409525" w14:textId="2EB269C6" w:rsidR="004E2DCE" w:rsidRPr="00CF4C86" w:rsidRDefault="008E66EE" w:rsidP="00CF4C86">
                  <w:pPr>
                    <w:shd w:val="clear" w:color="auto" w:fill="FFFFFF"/>
                    <w:rPr>
                      <w:rFonts w:asciiTheme="minorHAnsi" w:hAnsiTheme="minorHAnsi" w:cstheme="minorHAnsi"/>
                      <w:color w:val="000000"/>
                      <w:sz w:val="18"/>
                      <w:szCs w:val="18"/>
                    </w:rPr>
                  </w:pPr>
                  <w:r w:rsidRPr="008E66EE">
                    <w:rPr>
                      <w:rFonts w:eastAsia="Calibri"/>
                      <w:sz w:val="18"/>
                      <w:szCs w:val="18"/>
                      <w:lang w:val="sv-SE"/>
                    </w:rPr>
                    <w:br/>
                  </w:r>
                  <w:r w:rsidRPr="008E66EE">
                    <w:rPr>
                      <w:rFonts w:eastAsia="Calibri"/>
                      <w:sz w:val="18"/>
                      <w:szCs w:val="18"/>
                      <w:lang w:val="sv-SE"/>
                    </w:rPr>
                    <w:br/>
                    <w:t>Specifikt omfattar detta inte alla andra Fluke-produkter inklusive men inte begränsat till Fluke IG-produkter som inte anges ovan, samt produkter från Fluke Calibration, Fluke Networks, Fluke Biomedical, Beha-Amprobe, Pomona, Comark, eMaint-programvara och Pacific Laser Systems.</w:t>
                  </w:r>
                  <w:r w:rsidRPr="008E66EE">
                    <w:rPr>
                      <w:rFonts w:eastAsia="Calibri"/>
                      <w:sz w:val="18"/>
                      <w:szCs w:val="18"/>
                      <w:lang w:val="sv-SE"/>
                    </w:rPr>
                    <w:br/>
                  </w:r>
                  <w:r w:rsidRPr="008E66EE">
                    <w:rPr>
                      <w:rFonts w:eastAsia="Calibri"/>
                      <w:sz w:val="18"/>
                      <w:szCs w:val="18"/>
                      <w:lang w:val="sv-SE"/>
                    </w:rPr>
                    <w:br/>
                    <w:t>2. Behörighet och kampanjperiod:</w:t>
                  </w:r>
                  <w:r w:rsidRPr="008E66EE">
                    <w:rPr>
                      <w:rFonts w:eastAsia="Calibri"/>
                      <w:sz w:val="18"/>
                      <w:szCs w:val="18"/>
                      <w:lang w:val="sv-SE"/>
                    </w:rPr>
                    <w:br/>
                  </w:r>
                  <w:r w:rsidRPr="008E66EE">
                    <w:rPr>
                      <w:rFonts w:eastAsia="Calibri"/>
                      <w:sz w:val="18"/>
                      <w:szCs w:val="18"/>
                      <w:lang w:val="sv-SE"/>
                    </w:rPr>
                    <w:br/>
                    <w:t>För syftet med denna kampanj måste kunden vara en slutanvändare bosatt inom Europeiska unionens fastland, Storbritannien, Schweiz, Norge, Sverige, Finland, Albanien, Bosnien-Hercegovina, Island, Makedonien eller Serbien. För att vara berättigad till denna kampanj måste kunden köpa en Fluke-produkt under kampanjperioden, som börjar klockan 12.00 den 1</w:t>
                  </w:r>
                  <w:r w:rsidR="002A27A0">
                    <w:rPr>
                      <w:rFonts w:eastAsia="Calibri"/>
                      <w:sz w:val="18"/>
                      <w:szCs w:val="18"/>
                      <w:lang w:val="sv-SE"/>
                    </w:rPr>
                    <w:t>.9.2023</w:t>
                  </w:r>
                  <w:r w:rsidRPr="008E66EE">
                    <w:rPr>
                      <w:rFonts w:eastAsia="Calibri"/>
                      <w:sz w:val="18"/>
                      <w:szCs w:val="18"/>
                      <w:lang w:val="sv-SE"/>
                    </w:rPr>
                    <w:t xml:space="preserve"> och slutar klockan 23.59 den </w:t>
                  </w:r>
                  <w:r w:rsidR="002A27A0">
                    <w:rPr>
                      <w:rFonts w:eastAsia="Calibri"/>
                      <w:sz w:val="18"/>
                      <w:szCs w:val="18"/>
                      <w:lang w:val="sv-SE"/>
                    </w:rPr>
                    <w:t>15.12.</w:t>
                  </w:r>
                  <w:r w:rsidRPr="008E66EE">
                    <w:rPr>
                      <w:rFonts w:eastAsia="Calibri"/>
                      <w:sz w:val="18"/>
                      <w:szCs w:val="18"/>
                      <w:lang w:val="sv-SE"/>
                    </w:rPr>
                    <w:t>2023 (”kampanjperioden”).</w:t>
                  </w:r>
                  <w:r w:rsidRPr="008E66EE">
                    <w:rPr>
                      <w:rFonts w:eastAsia="Calibri"/>
                      <w:sz w:val="18"/>
                      <w:szCs w:val="18"/>
                      <w:lang w:val="sv-SE"/>
                    </w:rPr>
                    <w:br/>
                  </w:r>
                  <w:r w:rsidRPr="008E66EE">
                    <w:rPr>
                      <w:rFonts w:eastAsia="Calibri"/>
                      <w:sz w:val="18"/>
                      <w:szCs w:val="18"/>
                      <w:lang w:val="sv-SE"/>
                    </w:rPr>
                    <w:br/>
                    <w:t>Kundens faktura/kvitto måste visa köpdatum för Fluke-produkten och det måste falla inom kampanjperioden. Sponsorns dator ska vara den officiella tidshållningsenheten för kampanjen. Kampanjen gäller endast för köp som gjorts under kampanjperioden.</w:t>
                  </w:r>
                  <w:r w:rsidRPr="008E66EE">
                    <w:rPr>
                      <w:rFonts w:eastAsia="Calibri"/>
                      <w:sz w:val="18"/>
                      <w:szCs w:val="18"/>
                      <w:lang w:val="sv-SE"/>
                    </w:rPr>
                    <w:br/>
                  </w:r>
                  <w:r w:rsidRPr="008E66EE">
                    <w:rPr>
                      <w:rFonts w:eastAsia="Calibri"/>
                      <w:sz w:val="18"/>
                      <w:szCs w:val="18"/>
                      <w:lang w:val="sv-SE"/>
                    </w:rPr>
                    <w:lastRenderedPageBreak/>
                    <w:br/>
                    <w:t>Berättigade kunder kan göra anspråk på en (1) valfri gåva bland alternativen ovan eller erbjuden som ett alternativ för kunden från tid till annan, motsvarande nettopriset betalat av kunden för de berättigande Fluke-produkterna i den här kampanjen under kampanjperioden (exkl. moms och andra försäljningsskatter, leverans/hantering och andra avgifter). Om fakturor har andra produkter listade, förutom Fluke-produkterna, kommer endast de belopp som hänför sig till Fluke-produkterna på sådana fakturor att beaktas vid utvärdering av berättigande till gåvan.</w:t>
                  </w:r>
                  <w:r w:rsidRPr="008E66EE">
                    <w:rPr>
                      <w:rFonts w:eastAsia="Calibri"/>
                      <w:sz w:val="18"/>
                      <w:szCs w:val="18"/>
                      <w:lang w:val="sv-SE"/>
                    </w:rPr>
                    <w:br/>
                  </w:r>
                  <w:r w:rsidRPr="008E66EE">
                    <w:rPr>
                      <w:rFonts w:eastAsia="Calibri"/>
                      <w:sz w:val="18"/>
                      <w:szCs w:val="18"/>
                      <w:lang w:val="sv-SE"/>
                    </w:rPr>
                    <w:br/>
                    <w:t>3. Instruktioner om hur du deltar i kampanjen:</w:t>
                  </w:r>
                  <w:r w:rsidRPr="008E66EE">
                    <w:rPr>
                      <w:rFonts w:eastAsia="Calibri"/>
                      <w:sz w:val="18"/>
                      <w:szCs w:val="18"/>
                      <w:lang w:val="sv-SE"/>
                    </w:rPr>
                    <w:br/>
                  </w:r>
                  <w:r w:rsidRPr="008E66EE">
                    <w:rPr>
                      <w:rFonts w:eastAsia="Calibri"/>
                      <w:sz w:val="18"/>
                      <w:szCs w:val="18"/>
                      <w:lang w:val="sv-SE"/>
                    </w:rPr>
                    <w:br/>
                    <w:t>För att få gåvan måste alla berättigade kunder följa processen som anges nedan:</w:t>
                  </w:r>
                  <w:r w:rsidRPr="008E66EE">
                    <w:rPr>
                      <w:rFonts w:eastAsia="Calibri"/>
                      <w:sz w:val="18"/>
                      <w:szCs w:val="18"/>
                      <w:lang w:val="sv-SE"/>
                    </w:rPr>
                    <w:br/>
                  </w:r>
                  <w:r w:rsidRPr="008E66EE">
                    <w:rPr>
                      <w:rFonts w:eastAsia="Calibri"/>
                      <w:sz w:val="18"/>
                      <w:szCs w:val="18"/>
                      <w:lang w:val="sv-SE"/>
                    </w:rPr>
                    <w:br/>
                    <w:t>a. Kunder bör registrera ett anspråk via Kampanjens onlineregistreringsformulär på</w:t>
                  </w:r>
                  <w:r>
                    <w:rPr>
                      <w:rFonts w:eastAsia="Calibri"/>
                      <w:sz w:val="18"/>
                      <w:szCs w:val="18"/>
                      <w:lang w:val="sv-SE"/>
                    </w:rPr>
                    <w:t xml:space="preserve"> </w:t>
                  </w:r>
                  <w:hyperlink r:id="rId7" w:history="1">
                    <w:r w:rsidRPr="008E66EE">
                      <w:rPr>
                        <w:rStyle w:val="Hyperlink"/>
                        <w:rFonts w:eastAsia="Calibri"/>
                        <w:color w:val="0070C0"/>
                        <w:sz w:val="18"/>
                        <w:szCs w:val="18"/>
                        <w:lang w:val="sv-SE"/>
                      </w:rPr>
                      <w:t>www.fluke.se/freefluke</w:t>
                    </w:r>
                  </w:hyperlink>
                  <w:r w:rsidRPr="008E66EE">
                    <w:rPr>
                      <w:rFonts w:eastAsia="Calibri"/>
                      <w:color w:val="0070C0"/>
                      <w:sz w:val="18"/>
                      <w:szCs w:val="18"/>
                      <w:u w:val="single"/>
                      <w:lang w:val="sv-SE"/>
                    </w:rPr>
                    <w:t>-claim</w:t>
                  </w:r>
                  <w:r w:rsidRPr="008E66EE">
                    <w:rPr>
                      <w:rFonts w:eastAsia="Calibri"/>
                      <w:sz w:val="18"/>
                      <w:szCs w:val="18"/>
                      <w:lang w:val="sv-SE"/>
                    </w:rPr>
                    <w:t xml:space="preserve"> .  Kampanjformuläret måste fyllas i helt och skickas tillsammans med en tydlig, läsbar skanning av fakturan för en Fluke-produkt som köpts under kampanjperioden, som inköpsbevis.  Följesedlar, inköpsorder/orderbekräftelser godkänns inte som inköpsbevis. Fakturor daterade utanför kampanjperioden är inte giltiga och kommer inte att beaktas.  Förutom köpbeviset kommer kundens adress att krävas för att få gåvan.</w:t>
                  </w:r>
                  <w:r w:rsidRPr="008E66EE">
                    <w:rPr>
                      <w:rFonts w:eastAsia="Calibri"/>
                      <w:sz w:val="18"/>
                      <w:szCs w:val="18"/>
                      <w:lang w:val="sv-SE"/>
                    </w:rPr>
                    <w:br/>
                  </w:r>
                  <w:r w:rsidRPr="008E66EE">
                    <w:rPr>
                      <w:rFonts w:eastAsia="Calibri"/>
                      <w:sz w:val="18"/>
                      <w:szCs w:val="18"/>
                      <w:lang w:val="sv-SE"/>
                    </w:rPr>
                    <w:br/>
                    <w:t>b. Kunder kommer att behöva välja sitt val av en gåva i onlineregistreringsformuläret bland de två alternativen i första stycket ovan.</w:t>
                  </w:r>
                  <w:r w:rsidRPr="008E66EE">
                    <w:rPr>
                      <w:rFonts w:eastAsia="Calibri"/>
                      <w:sz w:val="18"/>
                      <w:szCs w:val="18"/>
                      <w:lang w:val="sv-SE"/>
                    </w:rPr>
                    <w:br/>
                  </w:r>
                  <w:r w:rsidRPr="008E66EE">
                    <w:rPr>
                      <w:rFonts w:eastAsia="Calibri"/>
                      <w:sz w:val="18"/>
                      <w:szCs w:val="18"/>
                      <w:lang w:val="sv-SE"/>
                    </w:rPr>
                    <w:br/>
                    <w:t>c. Kunder får endast registrera ett (1) gåvoanspråk per Fluke-produkt. Fakturor kan inte aggregeras eller användas mer än en gång.</w:t>
                  </w:r>
                  <w:r w:rsidRPr="008E66EE">
                    <w:rPr>
                      <w:rFonts w:eastAsia="Calibri"/>
                      <w:sz w:val="18"/>
                      <w:szCs w:val="18"/>
                      <w:lang w:val="sv-SE"/>
                    </w:rPr>
                    <w:br/>
                  </w:r>
                  <w:r w:rsidRPr="008E66EE">
                    <w:rPr>
                      <w:rFonts w:eastAsia="Calibri"/>
                      <w:sz w:val="18"/>
                      <w:szCs w:val="18"/>
                      <w:lang w:val="sv-SE"/>
                    </w:rPr>
                    <w:br/>
                    <w:t xml:space="preserve">d. Sponsorn kommer att acceptera giltiga anspråk fram till den </w:t>
                  </w:r>
                  <w:r w:rsidR="002A27A0">
                    <w:rPr>
                      <w:rFonts w:eastAsia="Calibri"/>
                      <w:sz w:val="18"/>
                      <w:szCs w:val="18"/>
                      <w:lang w:val="sv-SE"/>
                    </w:rPr>
                    <w:t>15.01.2024</w:t>
                  </w:r>
                  <w:r w:rsidRPr="008E66EE">
                    <w:rPr>
                      <w:rFonts w:eastAsia="Calibri"/>
                      <w:sz w:val="18"/>
                      <w:szCs w:val="18"/>
                      <w:lang w:val="sv-SE"/>
                    </w:rPr>
                    <w:t xml:space="preserve"> (”anspråksfrist”) med ett inköpsbevis mellan den 1</w:t>
                  </w:r>
                  <w:r w:rsidR="002A27A0">
                    <w:rPr>
                      <w:rFonts w:eastAsia="Calibri"/>
                      <w:sz w:val="18"/>
                      <w:szCs w:val="18"/>
                      <w:lang w:val="sv-SE"/>
                    </w:rPr>
                    <w:t>.9.2023 – 15.12.2023</w:t>
                  </w:r>
                  <w:r w:rsidRPr="008E66EE">
                    <w:rPr>
                      <w:rFonts w:eastAsia="Calibri"/>
                      <w:sz w:val="18"/>
                      <w:szCs w:val="18"/>
                      <w:lang w:val="sv-SE"/>
                    </w:rPr>
                    <w:t xml:space="preserve">. Anspråk som registreras efter detta datum kommer att avvisas som ogiltiga. </w:t>
                  </w:r>
                  <w:r w:rsidRPr="008E66EE">
                    <w:rPr>
                      <w:rFonts w:eastAsia="Calibri"/>
                      <w:sz w:val="18"/>
                      <w:szCs w:val="18"/>
                      <w:lang w:val="sv-SE"/>
                    </w:rPr>
                    <w:br/>
                  </w:r>
                  <w:r w:rsidRPr="008E66EE">
                    <w:rPr>
                      <w:rFonts w:eastAsia="Calibri"/>
                      <w:sz w:val="18"/>
                      <w:szCs w:val="18"/>
                      <w:lang w:val="sv-SE"/>
                    </w:rPr>
                    <w:br/>
                    <w:t>e. Sponsorn ska verifiera de inskickade fakturaskanningarna, gåvoalternativen och formulären. I händelse av avvikelser i formuläret, såsom köp av en icke-Fluke-produkt, får sponsorn efter eget gottfinnande rätt att den kundens berättigande till gåvan. Om sponsorn fastställer att kundens krav inte uppfyller villkoren eller på annat sätt inte är berättigat kommer kunden att informeras om detta.</w:t>
                  </w:r>
                  <w:r w:rsidRPr="008E66EE">
                    <w:rPr>
                      <w:rFonts w:eastAsia="Calibri"/>
                      <w:sz w:val="18"/>
                      <w:szCs w:val="18"/>
                      <w:lang w:val="sv-SE"/>
                    </w:rPr>
                    <w:br/>
                  </w:r>
                  <w:r w:rsidRPr="008E66EE">
                    <w:rPr>
                      <w:rFonts w:eastAsia="Calibri"/>
                      <w:sz w:val="18"/>
                      <w:szCs w:val="18"/>
                      <w:lang w:val="sv-SE"/>
                    </w:rPr>
                    <w:br/>
                    <w:t>f. Inom 45 dagar från anspråkstidens utgång ska sponsorn eller dess representanter skicka gåvan till den adress som kunden har angett.</w:t>
                  </w:r>
                  <w:r w:rsidRPr="008E66EE">
                    <w:rPr>
                      <w:rFonts w:eastAsia="Calibri"/>
                      <w:sz w:val="18"/>
                      <w:szCs w:val="18"/>
                      <w:lang w:val="sv-SE"/>
                    </w:rPr>
                    <w:br/>
                  </w:r>
                  <w:r w:rsidRPr="008E66EE">
                    <w:rPr>
                      <w:rFonts w:eastAsia="Calibri"/>
                      <w:sz w:val="18"/>
                      <w:szCs w:val="18"/>
                      <w:lang w:val="sv-SE"/>
                    </w:rPr>
                    <w:br/>
                    <w:t xml:space="preserve">g. I händelse av uteblivet mottagande av den kostnadsfria produkten bör kunden informera sponsorn om detta så fort som möjligt, men senast den </w:t>
                  </w:r>
                  <w:r w:rsidR="002A27A0">
                    <w:rPr>
                      <w:rFonts w:eastAsia="Calibri"/>
                      <w:sz w:val="18"/>
                      <w:szCs w:val="18"/>
                      <w:lang w:val="sv-SE"/>
                    </w:rPr>
                    <w:t>15.02.2024</w:t>
                  </w:r>
                  <w:r w:rsidRPr="008E66EE">
                    <w:rPr>
                      <w:rFonts w:eastAsia="Calibri"/>
                      <w:sz w:val="18"/>
                      <w:szCs w:val="18"/>
                      <w:lang w:val="sv-SE"/>
                    </w:rPr>
                    <w:t>. Anspråk på icke mottagna gåvor som mottagits efter detta datum ska lösas enbart enligt Sponsorns gottfinnande.</w:t>
                  </w:r>
                  <w:r w:rsidRPr="008E66EE">
                    <w:rPr>
                      <w:rFonts w:eastAsia="Calibri"/>
                      <w:sz w:val="18"/>
                      <w:szCs w:val="18"/>
                      <w:lang w:val="sv-SE"/>
                    </w:rPr>
                    <w:br/>
                  </w:r>
                  <w:r w:rsidRPr="008E66EE">
                    <w:rPr>
                      <w:rFonts w:eastAsia="Calibri"/>
                      <w:sz w:val="18"/>
                      <w:szCs w:val="18"/>
                      <w:lang w:val="sv-SE"/>
                    </w:rPr>
                    <w:br/>
                    <w:t>4. Andra restriktioner och begränsningar gällande kampanjen:</w:t>
                  </w:r>
                  <w:r w:rsidRPr="008E66EE">
                    <w:rPr>
                      <w:rFonts w:eastAsia="Calibri"/>
                      <w:sz w:val="18"/>
                      <w:szCs w:val="18"/>
                      <w:lang w:val="sv-SE"/>
                    </w:rPr>
                    <w:br/>
                  </w:r>
                  <w:r w:rsidRPr="008E66EE">
                    <w:rPr>
                      <w:rFonts w:eastAsia="Calibri"/>
                      <w:sz w:val="18"/>
                      <w:szCs w:val="18"/>
                      <w:lang w:val="sv-SE"/>
                    </w:rPr>
                    <w:br/>
                    <w:t>Denna kampanj är en fristående kampanj och är inte giltig i samband med andra kampanjer, erbjudanden, rabatter eller kuponger. Det går inte att använda gåvan som betalning för andra tjänster eller inköp, eller kombinera den med specialerbjudanden, kampanjer eller avtal.</w:t>
                  </w:r>
                  <w:r w:rsidRPr="008E66EE">
                    <w:rPr>
                      <w:rFonts w:eastAsia="Calibri"/>
                      <w:sz w:val="18"/>
                      <w:szCs w:val="18"/>
                      <w:lang w:val="sv-SE"/>
                    </w:rPr>
                    <w:br/>
                  </w:r>
                  <w:r w:rsidRPr="008E66EE">
                    <w:rPr>
                      <w:rFonts w:eastAsia="Calibri"/>
                      <w:sz w:val="18"/>
                      <w:szCs w:val="18"/>
                      <w:lang w:val="sv-SE"/>
                    </w:rPr>
                    <w:br/>
                  </w:r>
                  <w:r>
                    <w:rPr>
                      <w:rFonts w:eastAsia="Calibri"/>
                      <w:color w:val="000000"/>
                      <w:sz w:val="18"/>
                      <w:szCs w:val="18"/>
                      <w:lang w:val="sv-SE"/>
                    </w:rPr>
                    <w:t>Kund- och allt annat material som skickas till sponsorn i samband med kampanjen kan verifieras och granskas av sponsorn, efter sponsorns gottfinnande. Eventuellt material som skickas in i samband med kampanjen som inte uppfyller någon aspekt av dessa kampanjvillkor kan avvisas av sponsorn efter eget gottfinnande och kunden kan diskvalificeras från att delta i kampanjen.</w:t>
                  </w:r>
                  <w:r>
                    <w:rPr>
                      <w:rFonts w:eastAsia="Calibri"/>
                      <w:color w:val="000000"/>
                      <w:sz w:val="18"/>
                      <w:szCs w:val="18"/>
                      <w:lang w:val="sv-SE"/>
                    </w:rPr>
                    <w:br/>
                  </w:r>
                  <w:r>
                    <w:rPr>
                      <w:rFonts w:eastAsia="Calibri"/>
                      <w:color w:val="000000"/>
                      <w:sz w:val="18"/>
                      <w:szCs w:val="18"/>
                      <w:lang w:val="sv-SE"/>
                    </w:rPr>
                    <w:br/>
                    <w:t>Deltagare i den här kampanjen som köper Fluke-produkter åt eller å sin arbetsgivares räkning godkänner att omgående överlämna gåvan i den här kampanjen med avseende på ett sådant köp, till sin arbetsgivare och på begäran tillhandahålla bevis på överlämnandet. Deltagare godkänner dessutom att följa arbetsgivarens regler gällande mottagande av gåvor.</w:t>
                  </w:r>
                  <w:r>
                    <w:rPr>
                      <w:rFonts w:eastAsia="Calibri"/>
                      <w:color w:val="000000"/>
                      <w:sz w:val="18"/>
                      <w:szCs w:val="18"/>
                      <w:lang w:val="sv-SE"/>
                    </w:rPr>
                    <w:br/>
                  </w:r>
                  <w:r>
                    <w:rPr>
                      <w:rFonts w:eastAsia="Calibri"/>
                      <w:color w:val="000000"/>
                      <w:sz w:val="18"/>
                      <w:szCs w:val="18"/>
                      <w:lang w:val="sv-SE"/>
                    </w:rPr>
                    <w:br/>
                    <w:t>Sponsorns anställda, (under-)distributörer och deras representanter eller agenter, ledning och tjänstemän, samt sponsorns moderbolag, anslutna företag, dotterbolag, distributörer, representanter och dessa personers närmaste familjer (föräldrar, syskon, barn och makar) och personer som bor i samma hushåll (oavsett om de är släkt eller inte) är inte berättigade att delta i kampanjen. Vidare är inga anställda, tjänstemän, ledare, representanter eller agenter för distributörer eller konkurrerande verktygstillverkare berättigade att delta i kampanjen. Den här kampanjen gäller inte för följande personer enligt lag: anställda hos en utländsk regering, myndighet eller allmän internationell organisation; personer som agerar i myndighetsutövning för eller på uppdrag av en myndighet eller organisation; anställda hos företag som ägs av eller styrs av staten; personer som representerar ett politiskt parti, partitjänstemän och kandidater. Den här kampanjen gäller inte för vårdpersonal som är (a) personer (eller juridiska personer) som tillhandahåller hälsovårdstjänster till patienter eller (b) personer (eller juridiska personer) som köper, leasar, rekommenderar, använder, anordnar köp eller leasing av eller förskriver sponsorns hälsovårdsprodukter eller -tjänster på uppdrag av vårdpersonal, inklusive läkarinköpsagenter, läkarpraktikchefer eller ledning inom organisationer för medicinska gruppinköp.</w:t>
                  </w:r>
                  <w:r>
                    <w:rPr>
                      <w:rFonts w:eastAsia="Calibri"/>
                      <w:color w:val="000000"/>
                      <w:sz w:val="18"/>
                      <w:szCs w:val="18"/>
                      <w:lang w:val="sv-SE"/>
                    </w:rPr>
                    <w:br/>
                  </w:r>
                  <w:r>
                    <w:rPr>
                      <w:rFonts w:eastAsia="Calibri"/>
                      <w:color w:val="000000"/>
                      <w:sz w:val="18"/>
                      <w:szCs w:val="18"/>
                      <w:lang w:val="sv-SE"/>
                    </w:rPr>
                    <w:br/>
                    <w:t>5. Ansvarsfriskrivning:</w:t>
                  </w:r>
                  <w:r>
                    <w:rPr>
                      <w:rFonts w:eastAsia="Calibri"/>
                      <w:color w:val="000000"/>
                      <w:sz w:val="18"/>
                      <w:szCs w:val="18"/>
                      <w:lang w:val="sv-SE"/>
                    </w:rPr>
                    <w:br/>
                  </w:r>
                  <w:r>
                    <w:rPr>
                      <w:rFonts w:eastAsia="Calibri"/>
                      <w:color w:val="000000"/>
                      <w:sz w:val="18"/>
                      <w:szCs w:val="18"/>
                      <w:lang w:val="sv-SE"/>
                    </w:rPr>
                    <w:lastRenderedPageBreak/>
                    <w:br/>
                    <w:t>Sponsorn och vart och ett av dess moderbolag, partnerbolag och dotterbolag, och var och en av deras respektive styrelseledamöter, tjänstemän, professionella rådgivare, distributörer, representanter, anställda och agenter (tillsammans, "befriade parter") kommer inte att vara ansvariga eller ha något ansvar för : (a) alla försenade, förlorade, feldirigerade, förvrängda eller förvrängda eller skadade kommunikationer, sändningar eller inlösenförfrågningar relaterade till kampanjen; (b) telefon, elektronik, hårdvara, mjukvara, nätverk, Internet eller andra dator- eller kommunikationsrelaterade felfunktioner eller fel relaterade till kampanjen; (c) eventuella kampanjavbrott, skador, förluster eller skador orsakade av händelser utanför sponsorns kontroll eller av icke-auktoriserad mänsklig eller annan intervention; eller (d) eventuella tryck- eller typografiska fel i något material som är associerat med kampanjen.</w:t>
                  </w:r>
                  <w:r>
                    <w:rPr>
                      <w:rFonts w:eastAsia="Calibri"/>
                      <w:color w:val="000000"/>
                      <w:sz w:val="18"/>
                      <w:szCs w:val="18"/>
                      <w:lang w:val="sv-SE"/>
                    </w:rPr>
                    <w:br/>
                  </w:r>
                  <w:r>
                    <w:rPr>
                      <w:rFonts w:eastAsia="Calibri"/>
                      <w:color w:val="000000"/>
                      <w:sz w:val="18"/>
                      <w:szCs w:val="18"/>
                      <w:lang w:val="sv-SE"/>
                    </w:rPr>
                    <w:br/>
                  </w:r>
                  <w:r>
                    <w:rPr>
                      <w:rFonts w:eastAsia="Calibri"/>
                      <w:color w:val="000000"/>
                      <w:sz w:val="18"/>
                      <w:szCs w:val="18"/>
                      <w:lang w:val="sv-SE"/>
                    </w:rPr>
                    <w:br/>
                    <w:t>6. Friskrivning av ansvar och skadeståndsanspråk:</w:t>
                  </w:r>
                  <w:r>
                    <w:rPr>
                      <w:rFonts w:eastAsia="Calibri"/>
                      <w:color w:val="000000"/>
                      <w:sz w:val="18"/>
                      <w:szCs w:val="18"/>
                      <w:lang w:val="sv-SE"/>
                    </w:rPr>
                    <w:br/>
                  </w:r>
                  <w:r>
                    <w:rPr>
                      <w:rFonts w:eastAsia="Calibri"/>
                      <w:color w:val="000000"/>
                      <w:sz w:val="18"/>
                      <w:szCs w:val="18"/>
                      <w:lang w:val="sv-SE"/>
                    </w:rPr>
                    <w:br/>
                    <w:t>Om inte annat är förbjudet enligt lag gäller följande: Genom att delta i kampanjen friskriver kunden varje befriad part och samtycker till att gottgöra och hålla hen skadeslös från allt ansvar, skyldighet, skada, anspråk, kostym, åtgärder, kostnad, utgifter, förlust eller skada av något slag. Det gäller inklusive eventuell skatteskuld eller förlust av möjligheter, direkt, indirekt, särskilda, oavsiktliga eller följdskador, som kan åläggas, hävdas mot eller åsamkas sådan befriad part som uppstår ur eller på något sätt relaterar till kampanjen och de erbjudanden som görs härunder. Det inkluderar men begränsas inte till om skadan uppstår på grund av eller i samband med följande: (a) eventuella tekniska problem eller funktionsfel på utrustningen (oavsett om det är under sponsorns kontroll eller inte), (b) stöld, obehörig åtkomst eller inblandning från tredje part; (c) begäran om inlösen som är sen, förlorad, förändrad, skadad eller felriktad (oavsett om den har mottagits av sponsorn eller inte, och oavsett om det är under sponsorns kontroll eller inte); (d) eventuella skador på grund av posttjänstens drift. (e) eventuella variationer i produktvärde till vad som anges i dessa kampanjvillkor; (f) eventuella skatteskulder som deltagaren ådragit sig, eller (g) användning eller missbruk av de produkter som erbjuds under kampanjen.</w:t>
                  </w:r>
                  <w:r>
                    <w:rPr>
                      <w:rFonts w:eastAsia="Calibri"/>
                      <w:color w:val="000000"/>
                      <w:sz w:val="18"/>
                      <w:szCs w:val="18"/>
                      <w:lang w:val="sv-SE"/>
                    </w:rPr>
                    <w:br/>
                  </w:r>
                  <w:r>
                    <w:rPr>
                      <w:rFonts w:eastAsia="Calibri"/>
                      <w:color w:val="000000"/>
                      <w:sz w:val="18"/>
                      <w:szCs w:val="18"/>
                      <w:lang w:val="sv-SE"/>
                    </w:rPr>
                    <w:br/>
                    <w:t>7. Diverse:</w:t>
                  </w:r>
                  <w:r>
                    <w:rPr>
                      <w:rFonts w:eastAsia="Calibri"/>
                      <w:color w:val="000000"/>
                      <w:sz w:val="18"/>
                      <w:szCs w:val="18"/>
                      <w:lang w:val="sv-SE"/>
                    </w:rPr>
                    <w:br/>
                  </w:r>
                  <w:r>
                    <w:rPr>
                      <w:rFonts w:eastAsia="Calibri"/>
                      <w:color w:val="000000"/>
                      <w:sz w:val="18"/>
                      <w:szCs w:val="18"/>
                      <w:lang w:val="sv-SE"/>
                    </w:rPr>
                    <w:br/>
                    <w:t xml:space="preserve">Kampanjen och dessa villkor kommer att styras, visas och tolkas enligt lagarna i det territorium där sponsorn är inkorporerad utan att tillämpa några konflikter eller lagvalsbestämmelser under sådan lag som kan hänvisa till konstruktionen eller tolkningen av någon term häri till lagarna i någon annan jurisdiktion. All talan som väcks rörande kampanjen och dessa villkor får endast väckas vid de statliga eller federala domstolarna i landet där Sponsorn är registrerad och varje part i sådana åtgärder samtycker uttryckligen till dessa domstolars jurisdiktion. Om någon bestämmelse i dessa villkor bedöms olaglig eller inte verkställbar i ett rättsligt förfarande ska en sådan bestämmelse avskiljas och anses overkställbar, och under förutsättning att de grundläggande villkoren i dessa villkor förblir lagliga och verkställbara, ska resten av dessa villkor vara ikraft och bindande. </w:t>
                  </w:r>
                  <w:r>
                    <w:rPr>
                      <w:rFonts w:eastAsia="Calibri"/>
                      <w:color w:val="000000"/>
                      <w:sz w:val="18"/>
                      <w:szCs w:val="18"/>
                      <w:lang w:val="sv-SE"/>
                    </w:rPr>
                    <w:br/>
                  </w:r>
                  <w:r>
                    <w:rPr>
                      <w:rFonts w:eastAsia="Calibri"/>
                      <w:color w:val="000000"/>
                      <w:sz w:val="18"/>
                      <w:szCs w:val="18"/>
                      <w:lang w:val="sv-SE"/>
                    </w:rPr>
                    <w:br/>
                    <w:t>Kunden är bunden av dessa villkor och av sponsorns beslut som är slutgiltiga och bindande i alla avseenden. I den utsträckning som tillåts enligt lag förbehåller sig sponsorn rätten att när som helst ändra dessa villkor efter eget gottfinnande och att stoppa eller avbryta kampanjen eller kundens deltagande i kampanjen om datavirus, obehörigt mänskligt ingripande eller andra orsaker som ligger utanför sponsorns kontroll påverkar kampanjens administration, säkerhet eller genomförande, om sponsorn på annat sätt (som fastställs efter eget gottfinnande) blir oförmögen att genomföra kampanjen som planerat eller av någon annan anledning som sponsorn anser vara lämplig enligt dess enskilda och absoluta gottfinnande.</w:t>
                  </w:r>
                  <w:r>
                    <w:rPr>
                      <w:rFonts w:eastAsia="Calibri"/>
                      <w:color w:val="000000"/>
                      <w:sz w:val="18"/>
                      <w:szCs w:val="18"/>
                      <w:lang w:val="sv-SE"/>
                    </w:rPr>
                    <w:br/>
                  </w:r>
                  <w:r>
                    <w:rPr>
                      <w:rFonts w:eastAsia="Calibri"/>
                      <w:color w:val="000000"/>
                      <w:sz w:val="18"/>
                      <w:szCs w:val="18"/>
                      <w:lang w:val="sv-SE"/>
                    </w:rPr>
                    <w:br/>
                    <w:t>Dessa villkor utgör hela avtalet som reglerar kampanjen och bindandet av kunden, och inget annat avtal, muntligt eller på annat sätt, ska vara bindande för kampanjen såvida det inte är skriftligt och undertecknat av sponsorn. I händelse av konflikter eller oförenligheter mellan eventuella andra dokument som rör kampanjen och dessa villkor ska dessa villkor gälla. I den maximala utsträckning som lagen medger, kommer inget undantag från någon bestämmelse av dessa villkor att antydas från någon aktivitet mellan kunden och sponsorn eller från något misslyckande av kunden eller sponsorn att hävda sina rättigheter nedan vid något tillfälle eller en rad tillfällen.</w:t>
                  </w:r>
                  <w:r>
                    <w:rPr>
                      <w:rFonts w:eastAsia="Calibri"/>
                      <w:color w:val="000000"/>
                      <w:sz w:val="18"/>
                      <w:szCs w:val="18"/>
                      <w:lang w:val="sv-SE"/>
                    </w:rPr>
                    <w:br/>
                  </w:r>
                  <w:r>
                    <w:rPr>
                      <w:rFonts w:eastAsia="Calibri"/>
                      <w:color w:val="000000"/>
                      <w:sz w:val="18"/>
                      <w:szCs w:val="18"/>
                      <w:lang w:val="sv-SE"/>
                    </w:rPr>
                    <w:br/>
                    <w:t>En kund som bryter mot dessa villkor, bryter mot lagar, regler eller förordningar i samband med deltagandet i kampanjen, försvårar kampanjens funktion, eller uppvisar något beteende som är skadligt eller orättvist för sponsorn, kampanjen eller någon annan deltagare (i varje enskilt fall enligt vad som fastställs enligt sponsorns eget och absoluta gottfinnande) är föremål för diskvalificering från deltagande i kampanjen och alla andra rättigheter och rättsmedel som finns tillgängliga enligt lagen.</w:t>
                  </w:r>
                  <w:r>
                    <w:rPr>
                      <w:rFonts w:eastAsia="Calibri"/>
                      <w:color w:val="000000"/>
                      <w:sz w:val="18"/>
                      <w:szCs w:val="18"/>
                      <w:lang w:val="sv-SE"/>
                    </w:rPr>
                    <w:br/>
                  </w:r>
                  <w:r>
                    <w:rPr>
                      <w:rFonts w:eastAsia="Calibri"/>
                      <w:color w:val="000000"/>
                      <w:sz w:val="18"/>
                      <w:szCs w:val="18"/>
                      <w:lang w:val="sv-SE"/>
                    </w:rPr>
                    <w:br/>
                    <w:t xml:space="preserve">Sponsorns användning av kundens personuppgifter som tillhandahålls till sponsorn omfattas av sponsorns integritetspolicy (tillgänglig på </w:t>
                  </w:r>
                  <w:hyperlink r:id="rId8" w:history="1">
                    <w:r>
                      <w:rPr>
                        <w:rFonts w:eastAsia="Calibri"/>
                        <w:color w:val="0563C1"/>
                        <w:sz w:val="18"/>
                        <w:szCs w:val="18"/>
                        <w:u w:val="single"/>
                        <w:lang w:val="sv-SE"/>
                      </w:rPr>
                      <w:t>http://en-us.fluke.com/site/privacy</w:t>
                    </w:r>
                  </w:hyperlink>
                  <w:r>
                    <w:rPr>
                      <w:rFonts w:eastAsia="Calibri"/>
                      <w:color w:val="000000"/>
                      <w:sz w:val="18"/>
                      <w:szCs w:val="18"/>
                      <w:lang w:val="sv-SE"/>
                    </w:rPr>
                    <w:t xml:space="preserve">). Om du har några frågor om dessa villkor eller kampanjen, vänligen maila dem till </w:t>
                  </w:r>
                  <w:hyperlink r:id="rId9" w:history="1">
                    <w:r>
                      <w:rPr>
                        <w:rFonts w:eastAsia="Calibri"/>
                        <w:color w:val="0563C1"/>
                        <w:sz w:val="18"/>
                        <w:szCs w:val="18"/>
                        <w:u w:val="single"/>
                        <w:lang w:val="sv-SE"/>
                      </w:rPr>
                      <w:t>privacypolicy@fluke.com</w:t>
                    </w:r>
                  </w:hyperlink>
                  <w:r>
                    <w:rPr>
                      <w:rFonts w:eastAsia="Calibri"/>
                      <w:color w:val="000000"/>
                      <w:sz w:val="18"/>
                      <w:szCs w:val="18"/>
                      <w:lang w:val="sv-SE"/>
                    </w:rPr>
                    <w:t xml:space="preserve"> eller skicka skriftliga frågor till adressen som anges omedelbart nedan.</w:t>
                  </w:r>
                  <w:r>
                    <w:rPr>
                      <w:rFonts w:eastAsia="Calibri"/>
                      <w:color w:val="000000"/>
                      <w:sz w:val="18"/>
                      <w:szCs w:val="18"/>
                      <w:lang w:val="sv-SE"/>
                    </w:rPr>
                    <w:br/>
                  </w:r>
                  <w:r>
                    <w:rPr>
                      <w:rFonts w:eastAsia="Calibri"/>
                      <w:color w:val="000000"/>
                      <w:sz w:val="18"/>
                      <w:szCs w:val="18"/>
                      <w:lang w:val="sv-SE"/>
                    </w:rPr>
                    <w:br/>
                    <w:t>8. Sponsorns adressinformation:</w:t>
                  </w:r>
                  <w:r>
                    <w:rPr>
                      <w:rFonts w:eastAsia="Calibri"/>
                      <w:color w:val="000000"/>
                      <w:sz w:val="18"/>
                      <w:szCs w:val="18"/>
                      <w:lang w:val="sv-SE"/>
                    </w:rPr>
                    <w:br/>
                  </w:r>
                  <w:r>
                    <w:rPr>
                      <w:rFonts w:eastAsia="Calibri"/>
                      <w:color w:val="000000"/>
                      <w:sz w:val="18"/>
                      <w:szCs w:val="18"/>
                      <w:lang w:val="sv-SE"/>
                    </w:rPr>
                    <w:br/>
                    <w:t>Fluke Europe B.V., BIC 1, 5657 BX, Nederländerna.</w:t>
                  </w:r>
                  <w:r>
                    <w:rPr>
                      <w:rFonts w:eastAsia="Calibri"/>
                      <w:color w:val="000000"/>
                      <w:sz w:val="18"/>
                      <w:szCs w:val="18"/>
                      <w:lang w:val="sv-SE"/>
                    </w:rPr>
                    <w:br/>
                  </w:r>
                  <w:r>
                    <w:rPr>
                      <w:rFonts w:eastAsia="Calibri"/>
                      <w:color w:val="000000"/>
                      <w:sz w:val="18"/>
                      <w:szCs w:val="18"/>
                      <w:lang w:val="sv-SE"/>
                    </w:rPr>
                    <w:lastRenderedPageBreak/>
                    <w:br/>
                    <w:t>9. Copyright- och varumärkesmeddelanden:</w:t>
                  </w:r>
                  <w:r>
                    <w:rPr>
                      <w:rFonts w:eastAsia="Calibri"/>
                      <w:color w:val="000000"/>
                      <w:sz w:val="18"/>
                      <w:szCs w:val="18"/>
                      <w:lang w:val="sv-SE"/>
                    </w:rPr>
                    <w:br/>
                    <w:t>Kampanjen och allt medföljande material är © 2023 av Fluke Corporation och dess anslutna juridiska personer. All rights reserved. FLUKE är ett registrerat varumärke som ägs av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1E06325A">
      <w:start w:val="1"/>
      <w:numFmt w:val="bullet"/>
      <w:lvlText w:val=""/>
      <w:lvlJc w:val="left"/>
      <w:pPr>
        <w:ind w:left="720" w:hanging="360"/>
      </w:pPr>
      <w:rPr>
        <w:rFonts w:ascii="Symbol" w:hAnsi="Symbol" w:hint="default"/>
      </w:rPr>
    </w:lvl>
    <w:lvl w:ilvl="1" w:tplc="190AEDE6" w:tentative="1">
      <w:start w:val="1"/>
      <w:numFmt w:val="bullet"/>
      <w:lvlText w:val="o"/>
      <w:lvlJc w:val="left"/>
      <w:pPr>
        <w:ind w:left="1440" w:hanging="360"/>
      </w:pPr>
      <w:rPr>
        <w:rFonts w:ascii="Courier New" w:hAnsi="Courier New" w:cs="Courier New" w:hint="default"/>
      </w:rPr>
    </w:lvl>
    <w:lvl w:ilvl="2" w:tplc="3D5207E6" w:tentative="1">
      <w:start w:val="1"/>
      <w:numFmt w:val="bullet"/>
      <w:lvlText w:val=""/>
      <w:lvlJc w:val="left"/>
      <w:pPr>
        <w:ind w:left="2160" w:hanging="360"/>
      </w:pPr>
      <w:rPr>
        <w:rFonts w:ascii="Wingdings" w:hAnsi="Wingdings" w:hint="default"/>
      </w:rPr>
    </w:lvl>
    <w:lvl w:ilvl="3" w:tplc="822C386A" w:tentative="1">
      <w:start w:val="1"/>
      <w:numFmt w:val="bullet"/>
      <w:lvlText w:val=""/>
      <w:lvlJc w:val="left"/>
      <w:pPr>
        <w:ind w:left="2880" w:hanging="360"/>
      </w:pPr>
      <w:rPr>
        <w:rFonts w:ascii="Symbol" w:hAnsi="Symbol" w:hint="default"/>
      </w:rPr>
    </w:lvl>
    <w:lvl w:ilvl="4" w:tplc="BFFCAEBE" w:tentative="1">
      <w:start w:val="1"/>
      <w:numFmt w:val="bullet"/>
      <w:lvlText w:val="o"/>
      <w:lvlJc w:val="left"/>
      <w:pPr>
        <w:ind w:left="3600" w:hanging="360"/>
      </w:pPr>
      <w:rPr>
        <w:rFonts w:ascii="Courier New" w:hAnsi="Courier New" w:cs="Courier New" w:hint="default"/>
      </w:rPr>
    </w:lvl>
    <w:lvl w:ilvl="5" w:tplc="5A6441B8" w:tentative="1">
      <w:start w:val="1"/>
      <w:numFmt w:val="bullet"/>
      <w:lvlText w:val=""/>
      <w:lvlJc w:val="left"/>
      <w:pPr>
        <w:ind w:left="4320" w:hanging="360"/>
      </w:pPr>
      <w:rPr>
        <w:rFonts w:ascii="Wingdings" w:hAnsi="Wingdings" w:hint="default"/>
      </w:rPr>
    </w:lvl>
    <w:lvl w:ilvl="6" w:tplc="AEC8E096" w:tentative="1">
      <w:start w:val="1"/>
      <w:numFmt w:val="bullet"/>
      <w:lvlText w:val=""/>
      <w:lvlJc w:val="left"/>
      <w:pPr>
        <w:ind w:left="5040" w:hanging="360"/>
      </w:pPr>
      <w:rPr>
        <w:rFonts w:ascii="Symbol" w:hAnsi="Symbol" w:hint="default"/>
      </w:rPr>
    </w:lvl>
    <w:lvl w:ilvl="7" w:tplc="96AE1974" w:tentative="1">
      <w:start w:val="1"/>
      <w:numFmt w:val="bullet"/>
      <w:lvlText w:val="o"/>
      <w:lvlJc w:val="left"/>
      <w:pPr>
        <w:ind w:left="5760" w:hanging="360"/>
      </w:pPr>
      <w:rPr>
        <w:rFonts w:ascii="Courier New" w:hAnsi="Courier New" w:cs="Courier New" w:hint="default"/>
      </w:rPr>
    </w:lvl>
    <w:lvl w:ilvl="8" w:tplc="DDCC7D0E"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38BE4AF8">
      <w:start w:val="1"/>
      <w:numFmt w:val="bullet"/>
      <w:lvlText w:val=""/>
      <w:lvlJc w:val="left"/>
      <w:pPr>
        <w:ind w:left="720" w:hanging="360"/>
      </w:pPr>
      <w:rPr>
        <w:rFonts w:ascii="Symbol" w:hAnsi="Symbol" w:hint="default"/>
      </w:rPr>
    </w:lvl>
    <w:lvl w:ilvl="1" w:tplc="9B582378" w:tentative="1">
      <w:start w:val="1"/>
      <w:numFmt w:val="bullet"/>
      <w:lvlText w:val="o"/>
      <w:lvlJc w:val="left"/>
      <w:pPr>
        <w:ind w:left="1440" w:hanging="360"/>
      </w:pPr>
      <w:rPr>
        <w:rFonts w:ascii="Courier New" w:hAnsi="Courier New" w:cs="Courier New" w:hint="default"/>
      </w:rPr>
    </w:lvl>
    <w:lvl w:ilvl="2" w:tplc="FF76E2F0" w:tentative="1">
      <w:start w:val="1"/>
      <w:numFmt w:val="bullet"/>
      <w:lvlText w:val=""/>
      <w:lvlJc w:val="left"/>
      <w:pPr>
        <w:ind w:left="2160" w:hanging="360"/>
      </w:pPr>
      <w:rPr>
        <w:rFonts w:ascii="Wingdings" w:hAnsi="Wingdings" w:hint="default"/>
      </w:rPr>
    </w:lvl>
    <w:lvl w:ilvl="3" w:tplc="A86A5F04" w:tentative="1">
      <w:start w:val="1"/>
      <w:numFmt w:val="bullet"/>
      <w:lvlText w:val=""/>
      <w:lvlJc w:val="left"/>
      <w:pPr>
        <w:ind w:left="2880" w:hanging="360"/>
      </w:pPr>
      <w:rPr>
        <w:rFonts w:ascii="Symbol" w:hAnsi="Symbol" w:hint="default"/>
      </w:rPr>
    </w:lvl>
    <w:lvl w:ilvl="4" w:tplc="834EB82A" w:tentative="1">
      <w:start w:val="1"/>
      <w:numFmt w:val="bullet"/>
      <w:lvlText w:val="o"/>
      <w:lvlJc w:val="left"/>
      <w:pPr>
        <w:ind w:left="3600" w:hanging="360"/>
      </w:pPr>
      <w:rPr>
        <w:rFonts w:ascii="Courier New" w:hAnsi="Courier New" w:cs="Courier New" w:hint="default"/>
      </w:rPr>
    </w:lvl>
    <w:lvl w:ilvl="5" w:tplc="B5DEACE6" w:tentative="1">
      <w:start w:val="1"/>
      <w:numFmt w:val="bullet"/>
      <w:lvlText w:val=""/>
      <w:lvlJc w:val="left"/>
      <w:pPr>
        <w:ind w:left="4320" w:hanging="360"/>
      </w:pPr>
      <w:rPr>
        <w:rFonts w:ascii="Wingdings" w:hAnsi="Wingdings" w:hint="default"/>
      </w:rPr>
    </w:lvl>
    <w:lvl w:ilvl="6" w:tplc="9780B6A2" w:tentative="1">
      <w:start w:val="1"/>
      <w:numFmt w:val="bullet"/>
      <w:lvlText w:val=""/>
      <w:lvlJc w:val="left"/>
      <w:pPr>
        <w:ind w:left="5040" w:hanging="360"/>
      </w:pPr>
      <w:rPr>
        <w:rFonts w:ascii="Symbol" w:hAnsi="Symbol" w:hint="default"/>
      </w:rPr>
    </w:lvl>
    <w:lvl w:ilvl="7" w:tplc="ECBA323A" w:tentative="1">
      <w:start w:val="1"/>
      <w:numFmt w:val="bullet"/>
      <w:lvlText w:val="o"/>
      <w:lvlJc w:val="left"/>
      <w:pPr>
        <w:ind w:left="5760" w:hanging="360"/>
      </w:pPr>
      <w:rPr>
        <w:rFonts w:ascii="Courier New" w:hAnsi="Courier New" w:cs="Courier New" w:hint="default"/>
      </w:rPr>
    </w:lvl>
    <w:lvl w:ilvl="8" w:tplc="504AB2AE" w:tentative="1">
      <w:start w:val="1"/>
      <w:numFmt w:val="bullet"/>
      <w:lvlText w:val=""/>
      <w:lvlJc w:val="left"/>
      <w:pPr>
        <w:ind w:left="6480" w:hanging="360"/>
      </w:pPr>
      <w:rPr>
        <w:rFonts w:ascii="Wingdings" w:hAnsi="Wingdings" w:hint="default"/>
      </w:rPr>
    </w:lvl>
  </w:abstractNum>
  <w:num w:numId="1" w16cid:durableId="534780808">
    <w:abstractNumId w:val="1"/>
  </w:num>
  <w:num w:numId="2" w16cid:durableId="72418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A27A0"/>
    <w:rsid w:val="003E515C"/>
    <w:rsid w:val="00481C31"/>
    <w:rsid w:val="004E26BD"/>
    <w:rsid w:val="004E2DCE"/>
    <w:rsid w:val="005435D0"/>
    <w:rsid w:val="00580E10"/>
    <w:rsid w:val="00654480"/>
    <w:rsid w:val="006F223F"/>
    <w:rsid w:val="007137DD"/>
    <w:rsid w:val="00727A27"/>
    <w:rsid w:val="007E6FA3"/>
    <w:rsid w:val="008205FF"/>
    <w:rsid w:val="008B68C7"/>
    <w:rsid w:val="008E66EE"/>
    <w:rsid w:val="0096648F"/>
    <w:rsid w:val="009B5EA4"/>
    <w:rsid w:val="00AF3E4D"/>
    <w:rsid w:val="00B2173F"/>
    <w:rsid w:val="00CD0D23"/>
    <w:rsid w:val="00CF4C86"/>
    <w:rsid w:val="00D144B7"/>
    <w:rsid w:val="00D86A7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8E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se/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se/freefluke" TargetMode="External"/><Relationship Id="rId11" Type="http://schemas.openxmlformats.org/officeDocument/2006/relationships/theme" Target="theme/theme1.xml"/><Relationship Id="rId5" Type="http://schemas.openxmlformats.org/officeDocument/2006/relationships/hyperlink" Target="http://www.fluke.se/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2023-07-24T09:51:00Z</dcterms:created>
  <dcterms:modified xsi:type="dcterms:W3CDTF">2023-07-24T09:51:00Z</dcterms:modified>
</cp:coreProperties>
</file>